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FC" w:rsidRDefault="008F32CF" w:rsidP="008F32CF">
      <w:pPr>
        <w:pStyle w:val="Default"/>
        <w:spacing w:line="276" w:lineRule="auto"/>
        <w:rPr>
          <w:color w:val="auto"/>
        </w:rPr>
      </w:pPr>
      <w:r>
        <w:rPr>
          <w:color w:val="auto"/>
        </w:rPr>
        <w:t xml:space="preserve">                                                                                    </w:t>
      </w:r>
      <w:r w:rsidR="005928FC">
        <w:rPr>
          <w:color w:val="auto"/>
        </w:rPr>
        <w:t xml:space="preserve">                                        </w:t>
      </w:r>
    </w:p>
    <w:p w:rsidR="008F32CF" w:rsidRPr="005046AD" w:rsidRDefault="00063B4B" w:rsidP="00063B4B">
      <w:pPr>
        <w:pStyle w:val="Default"/>
        <w:spacing w:line="276" w:lineRule="auto"/>
        <w:jc w:val="center"/>
        <w:rPr>
          <w:color w:val="auto"/>
        </w:rPr>
      </w:pPr>
      <w:r>
        <w:rPr>
          <w:color w:val="auto"/>
        </w:rPr>
        <w:t xml:space="preserve">                                    </w:t>
      </w:r>
      <w:r w:rsidR="008F32CF" w:rsidRPr="005046AD">
        <w:rPr>
          <w:color w:val="auto"/>
        </w:rPr>
        <w:t>PATVIRTINTA</w:t>
      </w:r>
    </w:p>
    <w:p w:rsidR="008F32CF" w:rsidRPr="005046AD" w:rsidRDefault="008F32CF" w:rsidP="00063B4B">
      <w:pPr>
        <w:pStyle w:val="Default"/>
        <w:spacing w:line="276" w:lineRule="auto"/>
        <w:jc w:val="right"/>
        <w:rPr>
          <w:color w:val="auto"/>
        </w:rPr>
      </w:pPr>
      <w:r w:rsidRPr="005046AD">
        <w:rPr>
          <w:color w:val="auto"/>
        </w:rPr>
        <w:t xml:space="preserve">                                                                                  </w:t>
      </w:r>
      <w:r w:rsidR="005928FC" w:rsidRPr="005046AD">
        <w:rPr>
          <w:color w:val="auto"/>
        </w:rPr>
        <w:t xml:space="preserve">                                                                     </w:t>
      </w:r>
      <w:r w:rsidR="00063B4B">
        <w:rPr>
          <w:color w:val="auto"/>
        </w:rPr>
        <w:t xml:space="preserve"> </w:t>
      </w:r>
      <w:r w:rsidRPr="005046AD">
        <w:rPr>
          <w:color w:val="auto"/>
        </w:rPr>
        <w:t xml:space="preserve">Kauno </w:t>
      </w:r>
      <w:r w:rsidR="00063B4B">
        <w:rPr>
          <w:color w:val="auto"/>
        </w:rPr>
        <w:t>lopšelio-</w:t>
      </w:r>
      <w:r w:rsidRPr="005046AD">
        <w:rPr>
          <w:color w:val="auto"/>
        </w:rPr>
        <w:t xml:space="preserve"> darželio „Obelėlė“ direktoriaus </w:t>
      </w:r>
    </w:p>
    <w:p w:rsidR="008F32CF" w:rsidRPr="005046AD" w:rsidRDefault="00063B4B" w:rsidP="00063B4B">
      <w:pPr>
        <w:pStyle w:val="Default"/>
        <w:spacing w:line="276" w:lineRule="auto"/>
        <w:jc w:val="center"/>
        <w:rPr>
          <w:color w:val="auto"/>
        </w:rPr>
      </w:pPr>
      <w:r>
        <w:rPr>
          <w:color w:val="auto"/>
        </w:rPr>
        <w:t xml:space="preserve">                                                                               </w:t>
      </w:r>
      <w:r w:rsidR="008F32CF" w:rsidRPr="005046AD">
        <w:rPr>
          <w:color w:val="auto"/>
        </w:rPr>
        <w:t xml:space="preserve">2019 m. </w:t>
      </w:r>
      <w:r>
        <w:rPr>
          <w:color w:val="auto"/>
        </w:rPr>
        <w:t>gegužės 06</w:t>
      </w:r>
      <w:r w:rsidR="008F32CF" w:rsidRPr="005046AD">
        <w:rPr>
          <w:color w:val="auto"/>
        </w:rPr>
        <w:t xml:space="preserve">  d. įsakymu Nr. V-</w:t>
      </w:r>
      <w:r>
        <w:rPr>
          <w:color w:val="auto"/>
        </w:rPr>
        <w:t>039</w:t>
      </w:r>
    </w:p>
    <w:p w:rsidR="008F32CF" w:rsidRPr="005046AD" w:rsidRDefault="008F32CF" w:rsidP="008F32CF">
      <w:pPr>
        <w:jc w:val="center"/>
        <w:rPr>
          <w:rFonts w:ascii="Times New Roman" w:hAnsi="Times New Roman" w:cs="Times New Roman"/>
          <w:b/>
          <w:sz w:val="24"/>
          <w:szCs w:val="24"/>
        </w:rPr>
      </w:pPr>
    </w:p>
    <w:p w:rsidR="008F32CF" w:rsidRPr="005046AD" w:rsidRDefault="008F32CF" w:rsidP="008F32CF">
      <w:pPr>
        <w:jc w:val="center"/>
        <w:rPr>
          <w:rFonts w:ascii="Times New Roman" w:hAnsi="Times New Roman" w:cs="Times New Roman"/>
          <w:b/>
          <w:sz w:val="24"/>
          <w:szCs w:val="24"/>
        </w:rPr>
      </w:pPr>
    </w:p>
    <w:p w:rsidR="008F32CF" w:rsidRPr="005046AD" w:rsidRDefault="008F32CF" w:rsidP="008F32CF">
      <w:pPr>
        <w:jc w:val="center"/>
        <w:rPr>
          <w:rFonts w:ascii="Times New Roman" w:hAnsi="Times New Roman" w:cs="Times New Roman"/>
          <w:b/>
          <w:sz w:val="24"/>
          <w:szCs w:val="24"/>
        </w:rPr>
      </w:pPr>
      <w:r w:rsidRPr="005046AD">
        <w:rPr>
          <w:rFonts w:ascii="Times New Roman" w:hAnsi="Times New Roman" w:cs="Times New Roman"/>
          <w:b/>
          <w:sz w:val="24"/>
          <w:szCs w:val="24"/>
        </w:rPr>
        <w:t>KAUNO LOPŠELIO – DARŽELIO „OBELĖLĖ“ VAIKŲ APŽIŪROS DĖL ASMENS HIGIENOS TVARKOS APRAŠAS</w:t>
      </w:r>
    </w:p>
    <w:p w:rsidR="008F32CF" w:rsidRPr="005046AD" w:rsidRDefault="008F32CF" w:rsidP="008F32CF">
      <w:pPr>
        <w:jc w:val="both"/>
        <w:rPr>
          <w:rFonts w:ascii="Times New Roman" w:hAnsi="Times New Roman" w:cs="Times New Roman"/>
          <w:b/>
          <w:sz w:val="24"/>
          <w:szCs w:val="24"/>
        </w:rPr>
      </w:pPr>
      <w:r w:rsidRPr="005046AD">
        <w:rPr>
          <w:rFonts w:ascii="Times New Roman" w:hAnsi="Times New Roman" w:cs="Times New Roman"/>
          <w:b/>
          <w:sz w:val="24"/>
          <w:szCs w:val="24"/>
        </w:rPr>
        <w:t xml:space="preserve"> I. BENDROSIOS NUOSTATOS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1. Kauno lopšelio-darželio „Obelėlė“ vaikų apžiūros dėl asmens higienos aprašas (toliau – Aprašas) nustato vaikų apžiūros dėl asmens higienos, pedikuliozės ir niežų veiksmų tvarką ir informavimą, Kauno lopšelyje-darželyje „</w:t>
      </w:r>
      <w:r w:rsidR="003A1770" w:rsidRPr="005046AD">
        <w:rPr>
          <w:rFonts w:ascii="Times New Roman" w:hAnsi="Times New Roman" w:cs="Times New Roman"/>
          <w:sz w:val="24"/>
          <w:szCs w:val="24"/>
        </w:rPr>
        <w:t>Obelėlė</w:t>
      </w:r>
      <w:r w:rsidRPr="005046AD">
        <w:rPr>
          <w:rFonts w:ascii="Times New Roman" w:hAnsi="Times New Roman" w:cs="Times New Roman"/>
          <w:sz w:val="24"/>
          <w:szCs w:val="24"/>
        </w:rPr>
        <w:t>“ (tolia</w:t>
      </w:r>
      <w:r w:rsidR="00EA22E0" w:rsidRPr="005046AD">
        <w:rPr>
          <w:rFonts w:ascii="Times New Roman" w:hAnsi="Times New Roman" w:cs="Times New Roman"/>
          <w:sz w:val="24"/>
          <w:szCs w:val="24"/>
        </w:rPr>
        <w:t>u</w:t>
      </w:r>
      <w:r w:rsidRPr="005046AD">
        <w:rPr>
          <w:rFonts w:ascii="Times New Roman" w:hAnsi="Times New Roman" w:cs="Times New Roman"/>
          <w:sz w:val="24"/>
          <w:szCs w:val="24"/>
        </w:rPr>
        <w:t xml:space="preserve"> – Įstaiga).</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 2. Aprašas skirtas Įstaigos darbuotojams.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3. Aprašas sudarytas vadovaujantis: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3.1. Lietuvos higienos norma HN 75:2016 „Ikimokyklinio ir priešmokyklinio ugdymo programų vykdymo bendrieji sveikatos saugos reikalavimai“, patvirtinta Lietuvos Respublikos Sveikatos apsaugos ministro 2016 m. sausio 26 d. įsakymu Nr. V-93 redakcija.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3.2. Sveikatos mokymo ir ligų prevencijos centro Sveikatos priežiūros įgyvendinimo ikimokyklinio ugdymo įstaigose metodinėmis rekomendacijomis (Vilnius, 2012);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3.3. Visuomenės sveikatos priežiūros organizavimo mokykloje tvarkos aprašu, patvirtintu Lietuvos Respublikos sveikatos apsaugos ministro ir Lietuvos Respublikos švietimo ir mokslo ministro 2016 m. liepos 21 d. įsakymu Nr. V-966/V-672 redakcija; </w:t>
      </w:r>
    </w:p>
    <w:p w:rsidR="003A1770"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3.4. Užkrečiamų ligų profilaktikos ir kontrolės centro Vilniaus universiteto Medicinos fakulteto infekcinių ligų, dermatovenerologijos ir mikrobiologijos klinikos metodinėmis rekomendacijomis „Niežų epidemiologija, klinika, profilaktika“ ir „Pedikuliozės epidemiologinė priežiūra ir kontrolė“. </w:t>
      </w:r>
    </w:p>
    <w:p w:rsidR="008F32CF" w:rsidRPr="005046AD" w:rsidRDefault="008F32CF" w:rsidP="008F32CF">
      <w:pPr>
        <w:jc w:val="both"/>
        <w:rPr>
          <w:rFonts w:ascii="Times New Roman" w:hAnsi="Times New Roman" w:cs="Times New Roman"/>
          <w:b/>
          <w:sz w:val="24"/>
          <w:szCs w:val="24"/>
        </w:rPr>
      </w:pPr>
      <w:r w:rsidRPr="005046AD">
        <w:rPr>
          <w:rFonts w:ascii="Times New Roman" w:hAnsi="Times New Roman" w:cs="Times New Roman"/>
          <w:b/>
          <w:sz w:val="24"/>
          <w:szCs w:val="24"/>
        </w:rPr>
        <w:t xml:space="preserve">II. VAIKŲ APŽIŪRA DĖL ASMENS HIGIENOS, PEDIKULIOZĖS IR NIEŽŲ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4. Teisėtų vaiko atstovų sutikimas vaikų apžiūroms dėl asmens higienos, pedikuliozės ir niežų reglamentuojamas dvišalėse ikimokyklinio, ar priešmokyklinio ugdymo sutartyse.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5. Visuomenės sveikatos priežiūros specialistas (toliau - Specialistas) profilaktinį vaikų tikrinimą dėl pedikuliozės organizuoja 2 kartus metuose arba pagal epidemiologines reikmes, niežų – pagal epidemiologines reikmes. Tikrinimo rezultatai (pedikuliozės) žymimi „Patikrinimo dėl pedikuliozės registravimo žurnale“ (1 priedas).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lastRenderedPageBreak/>
        <w:t xml:space="preserve">6. Už vaikų ugdymą ir priežiūrą atsakingi pedagogai, turi užtikrinti, kad vaikai nesidalintų asmeninėmis šukomis, plaukų šepečiais, kitais galvos priežiūros reikmenimis, asmeniniais galvos apdangalais ir/ar drabužiais .Vaikų asmens higienos reikmenys laikomi vaikų rūbų spintelėse.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7. Atliekant patikrinimą, Specialistas ar grupės auklėtoja, turi elgtis korektiškai ir kvalifikuotai. Vaikas neturi jaustis nešvarus ir kaltas, jei jo galvoje ar drabužiuose būtų rasta utėlių.</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 8. Patikrinimas atliekamas atskiroje patalpoje, kur yra vandens ir muilo (sveikatos kabinete ar grupės prausykloje).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9. Įstaiga užtikrina vaiko apžiūros rezultatų informacijos konfidencialumą. Informacija apie vaiko apžiūrą dėl asmens higienos, pedikuliozės ir niežų pateikiama vaiko teisėtiems atstovams, anoniminė informacija (neminint vardų ir pavardžių) pateikiama grupės auklėtojai bei įstaigos vadovui.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10. Pastebėjus pedikuliozės atvejį, darbuotojai nedelsiant vykdo utėlėtumo išplitimo profilaktikos veiksmų planą, kuris yra išdėstytas 2 priede.</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 11. Vaikas, kurio galvos plaukuose rasta utėlių, neturi būti tuoj pat atskirtas nuo kitų vaikų, be to, jis gali likti darželyje iki dienos pabaigos. Baigus patikrinimą, būtina tuoj pat informuoti vaiko tėvus ar globėjus telefonu ar tiesiogiai .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12. Grupės, kurioje buvo nustatytas utėlėtumo atvejis, tėvams išdalinami laiškai, kuriais rekomenduojama patikrinti savo vaikų galvas dėl galimo užsikrėtimo utėlėmis bei suteikiama informacija apie pedikuliozės profilaktiką (4 priedas).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13. Pastebėjus pedikuliozės ar niežų atvejus, darbuotojai nedelsiant informuoja lopšelio-darželio „</w:t>
      </w:r>
      <w:r w:rsidR="00E55431" w:rsidRPr="005046AD">
        <w:rPr>
          <w:rFonts w:ascii="Times New Roman" w:hAnsi="Times New Roman" w:cs="Times New Roman"/>
          <w:sz w:val="24"/>
          <w:szCs w:val="24"/>
        </w:rPr>
        <w:t>Obelėlė</w:t>
      </w:r>
      <w:r w:rsidRPr="005046AD">
        <w:rPr>
          <w:rFonts w:ascii="Times New Roman" w:hAnsi="Times New Roman" w:cs="Times New Roman"/>
          <w:sz w:val="24"/>
          <w:szCs w:val="24"/>
        </w:rPr>
        <w:t xml:space="preserve">“ administraciją ir Visuomenės sveikatos priežiūros specialistą.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14. Specialistas </w:t>
      </w:r>
      <w:r w:rsidR="00EA22E0" w:rsidRPr="005046AD">
        <w:rPr>
          <w:rFonts w:ascii="Times New Roman" w:hAnsi="Times New Roman" w:cs="Times New Roman"/>
          <w:sz w:val="24"/>
          <w:szCs w:val="24"/>
        </w:rPr>
        <w:t xml:space="preserve">ar kitas diriektoriaus įsakymu paskirtas asmuo </w:t>
      </w:r>
      <w:r w:rsidRPr="005046AD">
        <w:rPr>
          <w:rFonts w:ascii="Times New Roman" w:hAnsi="Times New Roman" w:cs="Times New Roman"/>
          <w:sz w:val="24"/>
          <w:szCs w:val="24"/>
        </w:rPr>
        <w:t>informuoja lopšelio-darželio „</w:t>
      </w:r>
      <w:r w:rsidR="00E55431" w:rsidRPr="005046AD">
        <w:rPr>
          <w:rFonts w:ascii="Times New Roman" w:hAnsi="Times New Roman" w:cs="Times New Roman"/>
          <w:sz w:val="24"/>
          <w:szCs w:val="24"/>
        </w:rPr>
        <w:t>Obelėlė</w:t>
      </w:r>
      <w:r w:rsidRPr="005046AD">
        <w:rPr>
          <w:rFonts w:ascii="Times New Roman" w:hAnsi="Times New Roman" w:cs="Times New Roman"/>
          <w:sz w:val="24"/>
          <w:szCs w:val="24"/>
        </w:rPr>
        <w:t xml:space="preserve">“ bendruomenę ir rekomenduoja patikrinti vaikų galvas dėl galimo užsikrėtimo utelėmis bei suteikia informaciją apie pedikuliozės profilaktiką (5 priedas).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15. Jei teisėti vaiko atstovai, piktybiškai atsisako gydyti vaiką ir nesutinka su esama situacija, įstaigos vadovas apie susidariusią padėtį informuoja vaiko teisių apsaugos instituciją.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16. Vaikas į darželį gali sugrįžti tik tada, kai utėlės išnaikinamos (t.y. nerandama nei utėlių, nei glindų). Įstaiga gali pareikalauti iš tėvų raštiško patvirtinimo, kuriame tėvai/globėjai nurodo, kokiomis priemonėmis ir kada buvo pradėtas vykdyti utėlių naikinimas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 17. Esant niežų susirgimui, vaikas į daželį gali sugrįžti po pravesto gydymo, pateikus medicininę 094/a formos pažymą. </w:t>
      </w:r>
    </w:p>
    <w:p w:rsidR="008F32CF" w:rsidRPr="005046AD" w:rsidRDefault="008F32CF" w:rsidP="008F32CF">
      <w:pPr>
        <w:jc w:val="both"/>
        <w:rPr>
          <w:rFonts w:ascii="Times New Roman" w:hAnsi="Times New Roman" w:cs="Times New Roman"/>
          <w:b/>
          <w:sz w:val="24"/>
          <w:szCs w:val="24"/>
        </w:rPr>
      </w:pPr>
      <w:r w:rsidRPr="005046AD">
        <w:rPr>
          <w:rFonts w:ascii="Times New Roman" w:hAnsi="Times New Roman" w:cs="Times New Roman"/>
          <w:b/>
          <w:sz w:val="24"/>
          <w:szCs w:val="24"/>
        </w:rPr>
        <w:t xml:space="preserve">II. BAIGIAMOSIOS NUOSTATOS </w:t>
      </w:r>
    </w:p>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 xml:space="preserve">19. Su Aprašu turi būti pasirašytinai supažindinti už vaikų ugdymą ir priežiūrą atsakingi darbuotojai. </w:t>
      </w:r>
    </w:p>
    <w:p w:rsidR="007568A1"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lastRenderedPageBreak/>
        <w:t>20. Už pedikuliozės profilaktikos vykdymą ir jos priežiūrą atsakingas Įstaigos visuomenės sveikatos specialistas, jam nesant kitas (kiti) direktoriaus įsakymu paskirti asmenys.</w:t>
      </w:r>
    </w:p>
    <w:p w:rsidR="008F32CF" w:rsidRPr="005046AD" w:rsidRDefault="008F32CF" w:rsidP="008F32CF">
      <w:pPr>
        <w:autoSpaceDE w:val="0"/>
        <w:autoSpaceDN w:val="0"/>
        <w:adjustRightInd w:val="0"/>
        <w:spacing w:after="0" w:line="240" w:lineRule="auto"/>
        <w:jc w:val="center"/>
        <w:rPr>
          <w:rFonts w:ascii="Times New Roman" w:hAnsi="Times New Roman" w:cs="Times New Roman"/>
          <w:b/>
          <w:bCs/>
          <w:sz w:val="24"/>
          <w:szCs w:val="24"/>
        </w:rPr>
      </w:pPr>
    </w:p>
    <w:p w:rsidR="00D33836" w:rsidRPr="005046AD" w:rsidRDefault="008F32CF" w:rsidP="008F32CF">
      <w:pPr>
        <w:autoSpaceDE w:val="0"/>
        <w:autoSpaceDN w:val="0"/>
        <w:adjustRightInd w:val="0"/>
        <w:spacing w:after="0" w:line="240" w:lineRule="auto"/>
        <w:rPr>
          <w:rFonts w:ascii="Times New Roman" w:hAnsi="Times New Roman" w:cs="Times New Roman"/>
          <w:sz w:val="24"/>
          <w:szCs w:val="24"/>
        </w:rPr>
      </w:pPr>
      <w:r w:rsidRPr="005046AD">
        <w:rPr>
          <w:rFonts w:ascii="Times New Roman" w:hAnsi="Times New Roman" w:cs="Times New Roman"/>
          <w:sz w:val="24"/>
          <w:szCs w:val="24"/>
        </w:rPr>
        <w:t xml:space="preserve">                                                                           </w:t>
      </w: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D33836" w:rsidRPr="005046AD" w:rsidRDefault="00D33836" w:rsidP="008F32CF">
      <w:pPr>
        <w:autoSpaceDE w:val="0"/>
        <w:autoSpaceDN w:val="0"/>
        <w:adjustRightInd w:val="0"/>
        <w:spacing w:after="0" w:line="240" w:lineRule="auto"/>
        <w:rPr>
          <w:rFonts w:ascii="Times New Roman" w:hAnsi="Times New Roman" w:cs="Times New Roman"/>
          <w:sz w:val="24"/>
          <w:szCs w:val="24"/>
        </w:rPr>
      </w:pPr>
    </w:p>
    <w:p w:rsidR="008F32CF" w:rsidRPr="005046AD" w:rsidRDefault="00D33836" w:rsidP="008F32CF">
      <w:pPr>
        <w:autoSpaceDE w:val="0"/>
        <w:autoSpaceDN w:val="0"/>
        <w:adjustRightInd w:val="0"/>
        <w:spacing w:after="0" w:line="240" w:lineRule="auto"/>
        <w:rPr>
          <w:rFonts w:ascii="Times New Roman" w:hAnsi="Times New Roman" w:cs="Times New Roman"/>
          <w:sz w:val="24"/>
          <w:szCs w:val="24"/>
        </w:rPr>
      </w:pPr>
      <w:r w:rsidRPr="005046AD">
        <w:rPr>
          <w:rFonts w:ascii="Times New Roman" w:hAnsi="Times New Roman" w:cs="Times New Roman"/>
          <w:sz w:val="24"/>
          <w:szCs w:val="24"/>
        </w:rPr>
        <w:t xml:space="preserve">                                                                                                                                                    </w:t>
      </w:r>
      <w:r w:rsidR="00FD5267" w:rsidRPr="005046AD">
        <w:rPr>
          <w:rFonts w:ascii="Times New Roman" w:hAnsi="Times New Roman" w:cs="Times New Roman"/>
          <w:sz w:val="24"/>
          <w:szCs w:val="24"/>
        </w:rPr>
        <w:t xml:space="preserve">  </w:t>
      </w:r>
      <w:r w:rsidR="008F32CF" w:rsidRPr="005046AD">
        <w:rPr>
          <w:rFonts w:ascii="Times New Roman" w:hAnsi="Times New Roman" w:cs="Times New Roman"/>
          <w:sz w:val="24"/>
          <w:szCs w:val="24"/>
        </w:rPr>
        <w:t xml:space="preserve"> Kauno lopšelio – darželio „Obelėlė“</w:t>
      </w:r>
    </w:p>
    <w:p w:rsidR="008F32CF" w:rsidRPr="005046AD" w:rsidRDefault="008F32CF" w:rsidP="008F32CF">
      <w:pPr>
        <w:autoSpaceDE w:val="0"/>
        <w:autoSpaceDN w:val="0"/>
        <w:adjustRightInd w:val="0"/>
        <w:spacing w:after="0" w:line="240" w:lineRule="auto"/>
        <w:rPr>
          <w:rFonts w:ascii="Times New Roman" w:hAnsi="Times New Roman" w:cs="Times New Roman"/>
          <w:sz w:val="24"/>
          <w:szCs w:val="24"/>
        </w:rPr>
      </w:pPr>
      <w:r w:rsidRPr="005046AD">
        <w:rPr>
          <w:rFonts w:ascii="Times New Roman" w:hAnsi="Times New Roman" w:cs="Times New Roman"/>
          <w:sz w:val="24"/>
          <w:szCs w:val="24"/>
        </w:rPr>
        <w:t xml:space="preserve">                                                                            </w:t>
      </w:r>
      <w:r w:rsidR="00FD5267" w:rsidRPr="005046AD">
        <w:rPr>
          <w:rFonts w:ascii="Times New Roman" w:hAnsi="Times New Roman" w:cs="Times New Roman"/>
          <w:sz w:val="24"/>
          <w:szCs w:val="24"/>
        </w:rPr>
        <w:t xml:space="preserve">  </w:t>
      </w:r>
      <w:r w:rsidR="00D33836" w:rsidRPr="005046AD">
        <w:rPr>
          <w:rFonts w:ascii="Times New Roman" w:hAnsi="Times New Roman" w:cs="Times New Roman"/>
          <w:sz w:val="24"/>
          <w:szCs w:val="24"/>
        </w:rPr>
        <w:t xml:space="preserve">                                                                         </w:t>
      </w:r>
      <w:r w:rsidRPr="005046AD">
        <w:rPr>
          <w:rFonts w:ascii="Times New Roman" w:hAnsi="Times New Roman" w:cs="Times New Roman"/>
          <w:sz w:val="24"/>
          <w:szCs w:val="24"/>
        </w:rPr>
        <w:t>Vaikų apžiūros dėl asmens higienos tvarkos aprašo</w:t>
      </w:r>
    </w:p>
    <w:p w:rsidR="008F32CF" w:rsidRPr="005046AD" w:rsidRDefault="008F32CF" w:rsidP="008F32CF">
      <w:pPr>
        <w:autoSpaceDE w:val="0"/>
        <w:autoSpaceDN w:val="0"/>
        <w:adjustRightInd w:val="0"/>
        <w:spacing w:after="0" w:line="240" w:lineRule="auto"/>
        <w:rPr>
          <w:rFonts w:ascii="Times New Roman" w:hAnsi="Times New Roman" w:cs="Times New Roman"/>
          <w:sz w:val="24"/>
          <w:szCs w:val="24"/>
        </w:rPr>
      </w:pPr>
      <w:r w:rsidRPr="005046AD">
        <w:rPr>
          <w:rFonts w:ascii="Times New Roman" w:hAnsi="Times New Roman" w:cs="Times New Roman"/>
          <w:sz w:val="24"/>
          <w:szCs w:val="24"/>
        </w:rPr>
        <w:t xml:space="preserve">                                                                           </w:t>
      </w:r>
      <w:r w:rsidR="00FD5267" w:rsidRPr="005046AD">
        <w:rPr>
          <w:rFonts w:ascii="Times New Roman" w:hAnsi="Times New Roman" w:cs="Times New Roman"/>
          <w:sz w:val="24"/>
          <w:szCs w:val="24"/>
        </w:rPr>
        <w:t xml:space="preserve"> </w:t>
      </w:r>
      <w:r w:rsidR="00D33836" w:rsidRPr="005046AD">
        <w:rPr>
          <w:rFonts w:ascii="Times New Roman" w:hAnsi="Times New Roman" w:cs="Times New Roman"/>
          <w:sz w:val="24"/>
          <w:szCs w:val="24"/>
        </w:rPr>
        <w:t xml:space="preserve">                                                                         </w:t>
      </w:r>
      <w:r w:rsidRPr="005046AD">
        <w:rPr>
          <w:rFonts w:ascii="Times New Roman" w:hAnsi="Times New Roman" w:cs="Times New Roman"/>
          <w:sz w:val="24"/>
          <w:szCs w:val="24"/>
        </w:rPr>
        <w:t xml:space="preserve"> </w:t>
      </w:r>
      <w:r w:rsidR="00FD5267" w:rsidRPr="005046AD">
        <w:rPr>
          <w:rFonts w:ascii="Times New Roman" w:hAnsi="Times New Roman" w:cs="Times New Roman"/>
          <w:sz w:val="24"/>
          <w:szCs w:val="24"/>
        </w:rPr>
        <w:t xml:space="preserve"> </w:t>
      </w:r>
      <w:r w:rsidRPr="005046AD">
        <w:rPr>
          <w:rFonts w:ascii="Times New Roman" w:hAnsi="Times New Roman" w:cs="Times New Roman"/>
          <w:sz w:val="24"/>
          <w:szCs w:val="24"/>
        </w:rPr>
        <w:t>1 priedas</w:t>
      </w:r>
    </w:p>
    <w:p w:rsidR="008F32CF" w:rsidRPr="005046AD" w:rsidRDefault="008F32CF" w:rsidP="008F32CF">
      <w:pPr>
        <w:autoSpaceDE w:val="0"/>
        <w:autoSpaceDN w:val="0"/>
        <w:adjustRightInd w:val="0"/>
        <w:spacing w:after="0" w:line="240" w:lineRule="auto"/>
        <w:jc w:val="center"/>
        <w:rPr>
          <w:rFonts w:ascii="Times New Roman" w:hAnsi="Times New Roman" w:cs="Times New Roman"/>
          <w:b/>
          <w:bCs/>
          <w:sz w:val="24"/>
          <w:szCs w:val="24"/>
        </w:rPr>
      </w:pPr>
    </w:p>
    <w:p w:rsidR="008F32CF" w:rsidRPr="005046AD" w:rsidRDefault="008F32CF" w:rsidP="008F32CF">
      <w:pPr>
        <w:autoSpaceDE w:val="0"/>
        <w:autoSpaceDN w:val="0"/>
        <w:adjustRightInd w:val="0"/>
        <w:spacing w:after="0" w:line="240" w:lineRule="auto"/>
        <w:jc w:val="center"/>
        <w:rPr>
          <w:rFonts w:ascii="Times New Roman" w:hAnsi="Times New Roman" w:cs="Times New Roman"/>
          <w:b/>
          <w:bCs/>
          <w:sz w:val="24"/>
          <w:szCs w:val="24"/>
        </w:rPr>
      </w:pPr>
    </w:p>
    <w:p w:rsidR="008F32CF" w:rsidRPr="005046AD" w:rsidRDefault="008F32CF" w:rsidP="008F32CF">
      <w:pPr>
        <w:autoSpaceDE w:val="0"/>
        <w:autoSpaceDN w:val="0"/>
        <w:adjustRightInd w:val="0"/>
        <w:spacing w:after="0" w:line="240" w:lineRule="auto"/>
        <w:jc w:val="center"/>
        <w:rPr>
          <w:rFonts w:ascii="Times New Roman" w:hAnsi="Times New Roman" w:cs="Times New Roman"/>
          <w:b/>
          <w:bCs/>
          <w:sz w:val="24"/>
          <w:szCs w:val="24"/>
        </w:rPr>
      </w:pPr>
      <w:r w:rsidRPr="005046AD">
        <w:rPr>
          <w:rFonts w:ascii="Times New Roman" w:hAnsi="Times New Roman" w:cs="Times New Roman"/>
          <w:b/>
          <w:bCs/>
          <w:sz w:val="24"/>
          <w:szCs w:val="24"/>
        </w:rPr>
        <w:t>KAUNO LOPŠELIS-DARŽELIS „OBELĖLĖ“ PATIKRINIMO DĖL PEDIKULIOZĖS REGISTRAVIMO ŽURNALAS</w:t>
      </w:r>
    </w:p>
    <w:p w:rsidR="008F32CF" w:rsidRPr="005046AD" w:rsidRDefault="008F32CF" w:rsidP="008F32CF">
      <w:pPr>
        <w:jc w:val="center"/>
        <w:rPr>
          <w:rFonts w:ascii="Times New Roman" w:hAnsi="Times New Roman" w:cs="Times New Roman"/>
          <w:b/>
          <w:bCs/>
          <w:sz w:val="24"/>
          <w:szCs w:val="24"/>
        </w:rPr>
      </w:pPr>
    </w:p>
    <w:p w:rsidR="008F32CF" w:rsidRPr="005046AD" w:rsidRDefault="008F32CF" w:rsidP="008F32CF">
      <w:pPr>
        <w:jc w:val="both"/>
        <w:rPr>
          <w:rFonts w:ascii="Times New Roman" w:hAnsi="Times New Roman" w:cs="Times New Roman"/>
          <w:sz w:val="24"/>
          <w:szCs w:val="24"/>
        </w:rPr>
      </w:pPr>
    </w:p>
    <w:tbl>
      <w:tblPr>
        <w:tblStyle w:val="TableGrid"/>
        <w:tblW w:w="14283" w:type="dxa"/>
        <w:tblLook w:val="04A0"/>
      </w:tblPr>
      <w:tblGrid>
        <w:gridCol w:w="1242"/>
        <w:gridCol w:w="4678"/>
        <w:gridCol w:w="4394"/>
        <w:gridCol w:w="3969"/>
      </w:tblGrid>
      <w:tr w:rsidR="008F32CF" w:rsidRPr="005046AD" w:rsidTr="007937B7">
        <w:tc>
          <w:tcPr>
            <w:tcW w:w="1242" w:type="dxa"/>
          </w:tcPr>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Data</w:t>
            </w:r>
          </w:p>
        </w:tc>
        <w:tc>
          <w:tcPr>
            <w:tcW w:w="4678" w:type="dxa"/>
          </w:tcPr>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Grupės pavadinimas</w:t>
            </w:r>
          </w:p>
        </w:tc>
        <w:tc>
          <w:tcPr>
            <w:tcW w:w="4394" w:type="dxa"/>
          </w:tcPr>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išvados</w:t>
            </w:r>
          </w:p>
        </w:tc>
        <w:tc>
          <w:tcPr>
            <w:tcW w:w="3969" w:type="dxa"/>
          </w:tcPr>
          <w:p w:rsidR="008F32CF" w:rsidRPr="005046AD" w:rsidRDefault="008F32CF" w:rsidP="008F32CF">
            <w:pPr>
              <w:jc w:val="both"/>
              <w:rPr>
                <w:rFonts w:ascii="Times New Roman" w:hAnsi="Times New Roman" w:cs="Times New Roman"/>
                <w:sz w:val="24"/>
                <w:szCs w:val="24"/>
              </w:rPr>
            </w:pPr>
            <w:r w:rsidRPr="005046AD">
              <w:rPr>
                <w:rFonts w:ascii="Times New Roman" w:hAnsi="Times New Roman" w:cs="Times New Roman"/>
                <w:sz w:val="24"/>
                <w:szCs w:val="24"/>
              </w:rPr>
              <w:t>Atsakingas/parašas</w:t>
            </w:r>
          </w:p>
        </w:tc>
      </w:tr>
      <w:tr w:rsidR="008F32CF" w:rsidTr="007937B7">
        <w:tc>
          <w:tcPr>
            <w:tcW w:w="1242" w:type="dxa"/>
          </w:tcPr>
          <w:p w:rsidR="008F32CF" w:rsidRDefault="008F32CF" w:rsidP="008F32CF">
            <w:pPr>
              <w:jc w:val="both"/>
            </w:pPr>
          </w:p>
        </w:tc>
        <w:tc>
          <w:tcPr>
            <w:tcW w:w="4678" w:type="dxa"/>
          </w:tcPr>
          <w:p w:rsidR="008F32CF" w:rsidRDefault="008F32CF" w:rsidP="008F32CF">
            <w:pPr>
              <w:jc w:val="both"/>
            </w:pPr>
          </w:p>
          <w:p w:rsidR="008F32CF" w:rsidRDefault="008F32CF" w:rsidP="008F32CF">
            <w:pPr>
              <w:jc w:val="both"/>
            </w:pPr>
          </w:p>
          <w:p w:rsidR="00E55431" w:rsidRDefault="00E55431" w:rsidP="008F32CF">
            <w:pPr>
              <w:jc w:val="both"/>
            </w:pPr>
          </w:p>
          <w:p w:rsidR="00E55431" w:rsidRDefault="00E55431" w:rsidP="008F32CF">
            <w:pPr>
              <w:jc w:val="both"/>
            </w:pPr>
          </w:p>
          <w:p w:rsidR="008F32CF" w:rsidRDefault="008F32CF" w:rsidP="008F32CF">
            <w:pPr>
              <w:jc w:val="both"/>
            </w:pPr>
          </w:p>
        </w:tc>
        <w:tc>
          <w:tcPr>
            <w:tcW w:w="4394" w:type="dxa"/>
          </w:tcPr>
          <w:p w:rsidR="008F32CF" w:rsidRDefault="008F32CF" w:rsidP="008F32CF">
            <w:pPr>
              <w:jc w:val="both"/>
            </w:pPr>
          </w:p>
        </w:tc>
        <w:tc>
          <w:tcPr>
            <w:tcW w:w="3969" w:type="dxa"/>
          </w:tcPr>
          <w:p w:rsidR="008F32CF" w:rsidRDefault="008F32CF" w:rsidP="008F32CF">
            <w:pPr>
              <w:jc w:val="both"/>
            </w:pPr>
          </w:p>
        </w:tc>
      </w:tr>
      <w:tr w:rsidR="008F32CF" w:rsidTr="007937B7">
        <w:tc>
          <w:tcPr>
            <w:tcW w:w="1242" w:type="dxa"/>
          </w:tcPr>
          <w:p w:rsidR="008F32CF" w:rsidRDefault="008F32CF" w:rsidP="008F32CF">
            <w:pPr>
              <w:jc w:val="both"/>
            </w:pPr>
          </w:p>
        </w:tc>
        <w:tc>
          <w:tcPr>
            <w:tcW w:w="4678" w:type="dxa"/>
          </w:tcPr>
          <w:p w:rsidR="008F32CF" w:rsidRDefault="008F32CF" w:rsidP="008F32CF">
            <w:pPr>
              <w:jc w:val="both"/>
            </w:pPr>
          </w:p>
          <w:p w:rsidR="008F32CF" w:rsidRDefault="008F32CF" w:rsidP="008F32CF">
            <w:pPr>
              <w:jc w:val="both"/>
            </w:pPr>
          </w:p>
          <w:p w:rsidR="00E55431" w:rsidRDefault="00E55431" w:rsidP="008F32CF">
            <w:pPr>
              <w:jc w:val="both"/>
            </w:pPr>
          </w:p>
          <w:p w:rsidR="00E55431" w:rsidRDefault="00E55431" w:rsidP="008F32CF">
            <w:pPr>
              <w:jc w:val="both"/>
            </w:pPr>
          </w:p>
          <w:p w:rsidR="00E55431" w:rsidRDefault="00E55431" w:rsidP="008F32CF">
            <w:pPr>
              <w:jc w:val="both"/>
            </w:pPr>
          </w:p>
        </w:tc>
        <w:tc>
          <w:tcPr>
            <w:tcW w:w="4394" w:type="dxa"/>
          </w:tcPr>
          <w:p w:rsidR="008F32CF" w:rsidRDefault="008F32CF" w:rsidP="008F32CF">
            <w:pPr>
              <w:jc w:val="both"/>
            </w:pPr>
          </w:p>
        </w:tc>
        <w:tc>
          <w:tcPr>
            <w:tcW w:w="3969" w:type="dxa"/>
          </w:tcPr>
          <w:p w:rsidR="008F32CF" w:rsidRDefault="008F32CF" w:rsidP="008F32CF">
            <w:pPr>
              <w:jc w:val="both"/>
            </w:pPr>
          </w:p>
        </w:tc>
      </w:tr>
      <w:tr w:rsidR="008F32CF" w:rsidTr="007937B7">
        <w:tc>
          <w:tcPr>
            <w:tcW w:w="1242" w:type="dxa"/>
          </w:tcPr>
          <w:p w:rsidR="008F32CF" w:rsidRDefault="008F32CF" w:rsidP="008F32CF">
            <w:pPr>
              <w:jc w:val="both"/>
            </w:pPr>
          </w:p>
        </w:tc>
        <w:tc>
          <w:tcPr>
            <w:tcW w:w="4678" w:type="dxa"/>
          </w:tcPr>
          <w:p w:rsidR="008F32CF" w:rsidRDefault="008F32CF" w:rsidP="008F32CF">
            <w:pPr>
              <w:jc w:val="both"/>
            </w:pPr>
          </w:p>
          <w:p w:rsidR="008F32CF" w:rsidRDefault="008F32CF" w:rsidP="008F32CF">
            <w:pPr>
              <w:jc w:val="both"/>
            </w:pPr>
          </w:p>
          <w:p w:rsidR="008F32CF" w:rsidRDefault="008F32CF" w:rsidP="008F32CF">
            <w:pPr>
              <w:jc w:val="both"/>
            </w:pPr>
          </w:p>
          <w:p w:rsidR="00E55431" w:rsidRDefault="00E55431" w:rsidP="008F32CF">
            <w:pPr>
              <w:jc w:val="both"/>
            </w:pPr>
          </w:p>
          <w:p w:rsidR="00E55431" w:rsidRDefault="00E55431" w:rsidP="008F32CF">
            <w:pPr>
              <w:jc w:val="both"/>
            </w:pPr>
          </w:p>
        </w:tc>
        <w:tc>
          <w:tcPr>
            <w:tcW w:w="4394" w:type="dxa"/>
          </w:tcPr>
          <w:p w:rsidR="008F32CF" w:rsidRDefault="008F32CF" w:rsidP="008F32CF">
            <w:pPr>
              <w:jc w:val="both"/>
            </w:pPr>
          </w:p>
        </w:tc>
        <w:tc>
          <w:tcPr>
            <w:tcW w:w="3969" w:type="dxa"/>
          </w:tcPr>
          <w:p w:rsidR="008F32CF" w:rsidRDefault="008F32CF" w:rsidP="008F32CF">
            <w:pPr>
              <w:jc w:val="both"/>
            </w:pPr>
          </w:p>
        </w:tc>
      </w:tr>
      <w:tr w:rsidR="008F32CF" w:rsidTr="007937B7">
        <w:tc>
          <w:tcPr>
            <w:tcW w:w="1242" w:type="dxa"/>
          </w:tcPr>
          <w:p w:rsidR="008F32CF" w:rsidRDefault="008F32CF" w:rsidP="008F32CF">
            <w:pPr>
              <w:jc w:val="both"/>
            </w:pPr>
          </w:p>
        </w:tc>
        <w:tc>
          <w:tcPr>
            <w:tcW w:w="4678" w:type="dxa"/>
          </w:tcPr>
          <w:p w:rsidR="008F32CF" w:rsidRDefault="008F32CF" w:rsidP="008F32CF">
            <w:pPr>
              <w:jc w:val="both"/>
            </w:pPr>
          </w:p>
          <w:p w:rsidR="008F32CF" w:rsidRDefault="008F32CF" w:rsidP="008F32CF">
            <w:pPr>
              <w:jc w:val="both"/>
            </w:pPr>
          </w:p>
          <w:p w:rsidR="00E55431" w:rsidRDefault="00E55431" w:rsidP="008F32CF">
            <w:pPr>
              <w:jc w:val="both"/>
            </w:pPr>
          </w:p>
          <w:p w:rsidR="00E55431" w:rsidRDefault="00E55431" w:rsidP="008F32CF">
            <w:pPr>
              <w:jc w:val="both"/>
            </w:pPr>
          </w:p>
          <w:p w:rsidR="00E55431" w:rsidRDefault="00E55431" w:rsidP="008F32CF">
            <w:pPr>
              <w:jc w:val="both"/>
            </w:pPr>
          </w:p>
          <w:p w:rsidR="008F32CF" w:rsidRDefault="008F32CF" w:rsidP="008F32CF">
            <w:pPr>
              <w:jc w:val="both"/>
            </w:pPr>
          </w:p>
        </w:tc>
        <w:tc>
          <w:tcPr>
            <w:tcW w:w="4394" w:type="dxa"/>
          </w:tcPr>
          <w:p w:rsidR="008F32CF" w:rsidRDefault="008F32CF" w:rsidP="008F32CF">
            <w:pPr>
              <w:jc w:val="both"/>
            </w:pPr>
          </w:p>
        </w:tc>
        <w:tc>
          <w:tcPr>
            <w:tcW w:w="3969" w:type="dxa"/>
          </w:tcPr>
          <w:p w:rsidR="008F32CF" w:rsidRDefault="008F32CF" w:rsidP="008F32CF">
            <w:pPr>
              <w:jc w:val="both"/>
            </w:pPr>
          </w:p>
        </w:tc>
      </w:tr>
    </w:tbl>
    <w:p w:rsidR="008F32CF" w:rsidRDefault="008F32CF" w:rsidP="008F32CF">
      <w:pPr>
        <w:jc w:val="both"/>
      </w:pPr>
    </w:p>
    <w:p w:rsidR="003C37BB" w:rsidRDefault="003C37BB" w:rsidP="003C3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Kauno lopšelio – darželio „Obelėlė“</w:t>
      </w:r>
    </w:p>
    <w:p w:rsidR="003C37BB" w:rsidRDefault="003C37BB" w:rsidP="003C3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Vaikų apžiūros dėl asmens higienos tvarkos aprašo</w:t>
      </w:r>
    </w:p>
    <w:p w:rsidR="003C37BB" w:rsidRDefault="003C37BB" w:rsidP="003C37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priedas</w:t>
      </w:r>
    </w:p>
    <w:p w:rsidR="003C37BB" w:rsidRDefault="003C37BB" w:rsidP="003C37BB">
      <w:pPr>
        <w:autoSpaceDE w:val="0"/>
        <w:autoSpaceDN w:val="0"/>
        <w:adjustRightInd w:val="0"/>
        <w:spacing w:after="0" w:line="240" w:lineRule="auto"/>
        <w:jc w:val="center"/>
        <w:rPr>
          <w:rFonts w:ascii="Times New Roman,Bold" w:hAnsi="Times New Roman,Bold" w:cs="Times New Roman,Bold"/>
          <w:b/>
          <w:bCs/>
          <w:sz w:val="23"/>
          <w:szCs w:val="23"/>
        </w:rPr>
      </w:pPr>
    </w:p>
    <w:p w:rsidR="003C37BB" w:rsidRDefault="003C37BB" w:rsidP="008F32CF">
      <w:pPr>
        <w:jc w:val="both"/>
        <w:rPr>
          <w:rFonts w:ascii="Times New Roman,Bold" w:hAnsi="Times New Roman,Bold" w:cs="Times New Roman,Bold"/>
          <w:b/>
          <w:bCs/>
          <w:sz w:val="28"/>
          <w:szCs w:val="28"/>
        </w:rPr>
      </w:pPr>
    </w:p>
    <w:p w:rsidR="00E55431" w:rsidRDefault="00D33836" w:rsidP="00E55431">
      <w:pPr>
        <w:jc w:val="center"/>
        <w:rPr>
          <w:rFonts w:ascii="Times New Roman,Bold" w:hAnsi="Times New Roman,Bold" w:cs="Times New Roman,Bold"/>
          <w:b/>
          <w:bCs/>
          <w:sz w:val="28"/>
          <w:szCs w:val="28"/>
        </w:rPr>
      </w:pPr>
      <w:r>
        <w:rPr>
          <w:rFonts w:ascii="Times New Roman,Bold" w:hAnsi="Times New Roman,Bold" w:cs="Times New Roman,Bold"/>
          <w:b/>
          <w:bCs/>
          <w:sz w:val="28"/>
          <w:szCs w:val="28"/>
        </w:rPr>
        <w:t>KAUNO LOPŠELIS</w:t>
      </w:r>
      <w:r>
        <w:rPr>
          <w:rFonts w:ascii="Times New Roman" w:hAnsi="Times New Roman" w:cs="Times New Roman"/>
          <w:b/>
          <w:bCs/>
          <w:sz w:val="28"/>
          <w:szCs w:val="28"/>
        </w:rPr>
        <w:t>-</w:t>
      </w:r>
      <w:r>
        <w:rPr>
          <w:rFonts w:ascii="Times New Roman,Bold" w:hAnsi="Times New Roman,Bold" w:cs="Times New Roman,Bold"/>
          <w:b/>
          <w:bCs/>
          <w:sz w:val="28"/>
          <w:szCs w:val="28"/>
        </w:rPr>
        <w:t>DARŽELIS „OBELĖLĖ“ PEDIKULIOZĖS IŠPLITIMO PROFILAKTIKOS</w:t>
      </w:r>
    </w:p>
    <w:p w:rsidR="00D33836" w:rsidRDefault="00D33836" w:rsidP="00E55431">
      <w:pPr>
        <w:jc w:val="center"/>
      </w:pPr>
      <w:r>
        <w:rPr>
          <w:rFonts w:ascii="Times New Roman,Bold" w:hAnsi="Times New Roman,Bold" w:cs="Times New Roman,Bold"/>
          <w:b/>
          <w:bCs/>
          <w:sz w:val="28"/>
          <w:szCs w:val="28"/>
        </w:rPr>
        <w:t xml:space="preserve"> VEIKSMŲ PLANAS</w:t>
      </w:r>
    </w:p>
    <w:tbl>
      <w:tblPr>
        <w:tblStyle w:val="TableGrid"/>
        <w:tblW w:w="0" w:type="auto"/>
        <w:tblLook w:val="04A0"/>
      </w:tblPr>
      <w:tblGrid>
        <w:gridCol w:w="9854"/>
      </w:tblGrid>
      <w:tr w:rsidR="004F67E0" w:rsidTr="004F67E0">
        <w:tc>
          <w:tcPr>
            <w:tcW w:w="14219" w:type="dxa"/>
          </w:tcPr>
          <w:p w:rsidR="004F67E0" w:rsidRPr="004F67E0" w:rsidRDefault="004F67E0" w:rsidP="004F67E0">
            <w:pPr>
              <w:jc w:val="both"/>
              <w:rPr>
                <w:rFonts w:ascii="Times New Roman" w:hAnsi="Times New Roman" w:cs="Times New Roman"/>
                <w:sz w:val="24"/>
                <w:szCs w:val="24"/>
              </w:rPr>
            </w:pPr>
            <w:r w:rsidRPr="004F67E0">
              <w:rPr>
                <w:rFonts w:ascii="Times New Roman" w:hAnsi="Times New Roman" w:cs="Times New Roman"/>
                <w:sz w:val="24"/>
                <w:szCs w:val="24"/>
              </w:rPr>
              <w:t>Pastebėjus pedikuliozės atvejį ,  darbuotojai nedelsiant informuoja  įstaigos administraciją ir visuomenės sveikatos specialistą</w:t>
            </w:r>
          </w:p>
          <w:p w:rsidR="004F67E0" w:rsidRPr="004F67E0" w:rsidRDefault="004F67E0" w:rsidP="008F32CF">
            <w:pPr>
              <w:jc w:val="both"/>
              <w:rPr>
                <w:rFonts w:ascii="Times New Roman" w:hAnsi="Times New Roman" w:cs="Times New Roman"/>
                <w:sz w:val="24"/>
                <w:szCs w:val="24"/>
              </w:rPr>
            </w:pPr>
          </w:p>
        </w:tc>
      </w:tr>
    </w:tbl>
    <w:p w:rsidR="004F67E0" w:rsidRPr="004F67E0" w:rsidRDefault="004F67E0" w:rsidP="004F67E0">
      <w:pPr>
        <w:jc w:val="center"/>
        <w:rPr>
          <w:rFonts w:ascii="Times New Roman" w:hAnsi="Times New Roman" w:cs="Times New Roman"/>
          <w:sz w:val="96"/>
          <w:szCs w:val="96"/>
        </w:rPr>
      </w:pPr>
      <w:r w:rsidRPr="004F67E0">
        <w:rPr>
          <w:rFonts w:ascii="Times New Roman" w:hAnsi="Times New Roman" w:cs="Times New Roman"/>
          <w:sz w:val="96"/>
          <w:szCs w:val="96"/>
        </w:rPr>
        <w:sym w:font="Wingdings 2" w:char="F047"/>
      </w:r>
    </w:p>
    <w:tbl>
      <w:tblPr>
        <w:tblStyle w:val="TableGrid"/>
        <w:tblW w:w="14850" w:type="dxa"/>
        <w:tblLook w:val="04A0"/>
      </w:tblPr>
      <w:tblGrid>
        <w:gridCol w:w="2660"/>
        <w:gridCol w:w="1843"/>
        <w:gridCol w:w="1842"/>
        <w:gridCol w:w="2127"/>
        <w:gridCol w:w="2126"/>
        <w:gridCol w:w="1843"/>
        <w:gridCol w:w="2409"/>
      </w:tblGrid>
      <w:tr w:rsidR="00D33836" w:rsidTr="00E55431">
        <w:tc>
          <w:tcPr>
            <w:tcW w:w="2660"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Korektiškai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informuojami vaiko</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tėvai, pateikiama</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rekomendacija</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gydymui).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Atsakingas -</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specialista</w:t>
            </w:r>
            <w:r w:rsidR="0007274A">
              <w:rPr>
                <w:rFonts w:ascii="Times New Roman" w:hAnsi="Times New Roman" w:cs="Times New Roman"/>
                <w:sz w:val="24"/>
                <w:szCs w:val="24"/>
              </w:rPr>
              <w:t>s</w:t>
            </w:r>
            <w:r w:rsidR="001E21AE">
              <w:rPr>
                <w:rFonts w:ascii="Times New Roman" w:hAnsi="Times New Roman" w:cs="Times New Roman"/>
                <w:sz w:val="24"/>
                <w:szCs w:val="24"/>
              </w:rPr>
              <w:t xml:space="preserve"> arba grupės auklėtoja</w:t>
            </w:r>
          </w:p>
          <w:p w:rsidR="00D33836" w:rsidRDefault="00D33836" w:rsidP="00D33836"/>
          <w:p w:rsidR="00D33836" w:rsidRDefault="00D33836" w:rsidP="00D33836"/>
          <w:p w:rsidR="00D33836" w:rsidRDefault="00D33836" w:rsidP="00D33836"/>
          <w:p w:rsidR="00D33836" w:rsidRDefault="00D33836" w:rsidP="00D33836"/>
        </w:tc>
        <w:tc>
          <w:tcPr>
            <w:tcW w:w="1843"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Patikrinamos grupės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vaikų galvos.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Atsakingas -</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r>
              <w:rPr>
                <w:rFonts w:ascii="Times New Roman" w:hAnsi="Times New Roman" w:cs="Times New Roman"/>
                <w:sz w:val="24"/>
                <w:szCs w:val="24"/>
              </w:rPr>
              <w:t>specialistas, jam nesant kitas direktoriaus įsakymu paskirtas asmuo</w:t>
            </w:r>
          </w:p>
        </w:tc>
        <w:tc>
          <w:tcPr>
            <w:tcW w:w="1842"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Atlieka rūbų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spintelių, plaukų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priežiūros priemonių,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žaidimų centrų,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erdvių dezinfekciją,</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pakeičiami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rankšluosčiai,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patalynė.</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Atsakingas -</w:t>
            </w:r>
          </w:p>
          <w:p w:rsidR="00D33836" w:rsidRDefault="00D33836" w:rsidP="00D33836">
            <w:r>
              <w:rPr>
                <w:rFonts w:ascii="Times New Roman" w:hAnsi="Times New Roman" w:cs="Times New Roman"/>
                <w:sz w:val="23"/>
                <w:szCs w:val="23"/>
              </w:rPr>
              <w:t>auklėtojų padėjėjos.</w:t>
            </w:r>
          </w:p>
        </w:tc>
        <w:tc>
          <w:tcPr>
            <w:tcW w:w="2127"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Grupės vaikų tėvai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supažindinami su</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utėlėtumo</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profilaktikos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atmintine, įteikiami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laiškai </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Atsakingas -</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r>
              <w:rPr>
                <w:rFonts w:ascii="Times New Roman" w:hAnsi="Times New Roman" w:cs="Times New Roman"/>
                <w:sz w:val="24"/>
                <w:szCs w:val="24"/>
              </w:rPr>
              <w:t>specialistas, jam nesant kitas direktoriaus įsakymu paskirtas asmuo</w:t>
            </w:r>
          </w:p>
        </w:tc>
        <w:tc>
          <w:tcPr>
            <w:tcW w:w="2126"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Grupės tėvų lentose</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patalpinama vaizdinė</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medžiaga</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pedikuliozės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profilaktikos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tematika.</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Atsakingas -</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r>
              <w:rPr>
                <w:rFonts w:ascii="Times New Roman" w:hAnsi="Times New Roman" w:cs="Times New Roman"/>
                <w:sz w:val="24"/>
                <w:szCs w:val="24"/>
              </w:rPr>
              <w:t>specialistas, jam nesant kitas direktoriaus įsakymu paskirtas asmuo</w:t>
            </w:r>
          </w:p>
        </w:tc>
        <w:tc>
          <w:tcPr>
            <w:tcW w:w="1843"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Tikrinamos vaikų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galvos kas 3-4</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dienos, utėlių</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neradus, kontrolinis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tikrinimas po</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savaitės. Atsakingas -</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4"/>
                <w:szCs w:val="24"/>
              </w:rPr>
              <w:t>specialistas</w:t>
            </w:r>
            <w:r>
              <w:rPr>
                <w:rFonts w:ascii="Times New Roman" w:hAnsi="Times New Roman" w:cs="Times New Roman"/>
                <w:sz w:val="23"/>
                <w:szCs w:val="23"/>
              </w:rPr>
              <w:t>,</w:t>
            </w:r>
          </w:p>
          <w:p w:rsidR="00D33836" w:rsidRDefault="00D33836" w:rsidP="00D33836">
            <w:r>
              <w:rPr>
                <w:rFonts w:ascii="Times New Roman" w:hAnsi="Times New Roman" w:cs="Times New Roman"/>
                <w:sz w:val="23"/>
                <w:szCs w:val="23"/>
              </w:rPr>
              <w:t>pedagogai .</w:t>
            </w:r>
          </w:p>
        </w:tc>
        <w:tc>
          <w:tcPr>
            <w:tcW w:w="2409" w:type="dxa"/>
          </w:tcPr>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Vaikas į kolektyvą</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sugrįžta pilnai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išnaikinus glindas ir</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utėles, tėvams</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pateikus raštišką</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patvirtinimą apie</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naudotas gydymo</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priemones. Atsakingi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vaikų tėvai.</w:t>
            </w:r>
          </w:p>
          <w:p w:rsidR="00D33836" w:rsidRDefault="00D33836" w:rsidP="00D3383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Kontrolę vykdo</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visuomenės</w:t>
            </w:r>
          </w:p>
          <w:p w:rsidR="00D33836" w:rsidRDefault="00D33836" w:rsidP="00D33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sveikatos priežiūros</w:t>
            </w:r>
          </w:p>
          <w:p w:rsidR="00D33836" w:rsidRDefault="00D33836" w:rsidP="00D33836">
            <w:r>
              <w:rPr>
                <w:rFonts w:ascii="Times New Roman" w:hAnsi="Times New Roman" w:cs="Times New Roman"/>
                <w:sz w:val="24"/>
                <w:szCs w:val="24"/>
              </w:rPr>
              <w:t>specialistas jam nesant kitas direktoriaus įsakymu paskirtas asmuo</w:t>
            </w:r>
          </w:p>
        </w:tc>
      </w:tr>
    </w:tbl>
    <w:p w:rsidR="00D33836" w:rsidRDefault="00D33836" w:rsidP="00E55431">
      <w:pPr>
        <w:jc w:val="both"/>
      </w:pPr>
    </w:p>
    <w:sectPr w:rsidR="00D33836" w:rsidSect="00063B4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8F32CF"/>
    <w:rsid w:val="00063B4B"/>
    <w:rsid w:val="0007274A"/>
    <w:rsid w:val="001E21AE"/>
    <w:rsid w:val="003A1770"/>
    <w:rsid w:val="003C37BB"/>
    <w:rsid w:val="004F67E0"/>
    <w:rsid w:val="005046AD"/>
    <w:rsid w:val="005928FC"/>
    <w:rsid w:val="007568A1"/>
    <w:rsid w:val="007937B7"/>
    <w:rsid w:val="007C072B"/>
    <w:rsid w:val="008F32CF"/>
    <w:rsid w:val="00D33836"/>
    <w:rsid w:val="00E55431"/>
    <w:rsid w:val="00EA22E0"/>
    <w:rsid w:val="00FD52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3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Aras aras</cp:lastModifiedBy>
  <cp:revision>12</cp:revision>
  <dcterms:created xsi:type="dcterms:W3CDTF">2019-05-08T10:35:00Z</dcterms:created>
  <dcterms:modified xsi:type="dcterms:W3CDTF">2023-04-18T11:23:00Z</dcterms:modified>
</cp:coreProperties>
</file>